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5AB10" w14:textId="77777777" w:rsidR="00B31A0B" w:rsidRDefault="00112E81">
      <w:pPr>
        <w:pStyle w:val="BodyText"/>
        <w:rPr>
          <w:rFonts w:ascii="Times New Roman"/>
          <w:sz w:val="36"/>
        </w:rPr>
      </w:pPr>
      <w:r>
        <w:rPr>
          <w:rFonts w:ascii="Times New Roman"/>
          <w:noProof/>
          <w:sz w:val="36"/>
        </w:rPr>
        <w:drawing>
          <wp:anchor distT="0" distB="0" distL="0" distR="0" simplePos="0" relativeHeight="487569920" behindDoc="1" locked="0" layoutInCell="1" allowOverlap="1" wp14:anchorId="5C0CDC62" wp14:editId="736EBCC2">
            <wp:simplePos x="0" y="0"/>
            <wp:positionH relativeFrom="page">
              <wp:posOffset>0</wp:posOffset>
            </wp:positionH>
            <wp:positionV relativeFrom="page">
              <wp:posOffset>452605</wp:posOffset>
            </wp:positionV>
            <wp:extent cx="2892373" cy="960501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892373" cy="9605019"/>
                    </a:xfrm>
                    <a:prstGeom prst="rect">
                      <a:avLst/>
                    </a:prstGeom>
                  </pic:spPr>
                </pic:pic>
              </a:graphicData>
            </a:graphic>
          </wp:anchor>
        </w:drawing>
      </w:r>
    </w:p>
    <w:p w14:paraId="50605330" w14:textId="77777777" w:rsidR="00B31A0B" w:rsidRDefault="00B31A0B">
      <w:pPr>
        <w:pStyle w:val="BodyText"/>
        <w:rPr>
          <w:rFonts w:ascii="Times New Roman"/>
          <w:sz w:val="36"/>
        </w:rPr>
      </w:pPr>
    </w:p>
    <w:p w14:paraId="1A643221" w14:textId="77777777" w:rsidR="00B31A0B" w:rsidRDefault="00B31A0B">
      <w:pPr>
        <w:pStyle w:val="BodyText"/>
        <w:rPr>
          <w:rFonts w:ascii="Times New Roman"/>
          <w:sz w:val="36"/>
        </w:rPr>
      </w:pPr>
    </w:p>
    <w:p w14:paraId="10E3DFBA" w14:textId="77777777" w:rsidR="00B31A0B" w:rsidRDefault="00B31A0B">
      <w:pPr>
        <w:pStyle w:val="BodyText"/>
        <w:rPr>
          <w:rFonts w:ascii="Times New Roman"/>
          <w:sz w:val="36"/>
        </w:rPr>
      </w:pPr>
    </w:p>
    <w:p w14:paraId="110A9DD7" w14:textId="77777777" w:rsidR="00B31A0B" w:rsidRDefault="00112E81">
      <w:pPr>
        <w:pStyle w:val="Heading1"/>
        <w:spacing w:before="1"/>
        <w:ind w:left="1"/>
      </w:pPr>
      <w:r>
        <w:rPr>
          <w:color w:val="006BB7"/>
        </w:rPr>
        <w:t>FAIR</w:t>
      </w:r>
      <w:r>
        <w:rPr>
          <w:color w:val="006BB7"/>
          <w:spacing w:val="-1"/>
        </w:rPr>
        <w:t xml:space="preserve"> </w:t>
      </w:r>
      <w:r>
        <w:rPr>
          <w:color w:val="006BB7"/>
        </w:rPr>
        <w:t xml:space="preserve">HOUSING </w:t>
      </w:r>
      <w:r>
        <w:rPr>
          <w:color w:val="006BB7"/>
          <w:spacing w:val="-2"/>
        </w:rPr>
        <w:t>TRAINING</w:t>
      </w:r>
    </w:p>
    <w:p w14:paraId="5F560E94" w14:textId="77777777" w:rsidR="00B31A0B" w:rsidRDefault="00112E81">
      <w:pPr>
        <w:spacing w:line="468" w:lineRule="exact"/>
        <w:ind w:right="2"/>
        <w:jc w:val="center"/>
        <w:rPr>
          <w:b/>
          <w:sz w:val="36"/>
        </w:rPr>
      </w:pPr>
      <w:r>
        <w:rPr>
          <w:b/>
          <w:color w:val="006BB7"/>
          <w:sz w:val="36"/>
        </w:rPr>
        <w:t>COURSE</w:t>
      </w:r>
      <w:r>
        <w:rPr>
          <w:b/>
          <w:color w:val="006BB7"/>
          <w:spacing w:val="-5"/>
          <w:sz w:val="36"/>
        </w:rPr>
        <w:t xml:space="preserve"> </w:t>
      </w:r>
      <w:r>
        <w:rPr>
          <w:b/>
          <w:color w:val="006BB7"/>
          <w:sz w:val="36"/>
        </w:rPr>
        <w:t>EQUIVALENCY</w:t>
      </w:r>
      <w:r>
        <w:rPr>
          <w:b/>
          <w:color w:val="006BB7"/>
          <w:spacing w:val="-3"/>
          <w:sz w:val="36"/>
        </w:rPr>
        <w:t xml:space="preserve"> </w:t>
      </w:r>
      <w:r>
        <w:rPr>
          <w:b/>
          <w:color w:val="006BB7"/>
          <w:sz w:val="36"/>
        </w:rPr>
        <w:t>ACCEPTANCE</w:t>
      </w:r>
      <w:r>
        <w:rPr>
          <w:b/>
          <w:color w:val="006BB7"/>
          <w:spacing w:val="-5"/>
          <w:sz w:val="36"/>
        </w:rPr>
        <w:t xml:space="preserve"> </w:t>
      </w:r>
      <w:r>
        <w:rPr>
          <w:b/>
          <w:color w:val="006BB7"/>
          <w:spacing w:val="-2"/>
          <w:sz w:val="36"/>
        </w:rPr>
        <w:t>CRITERIA</w:t>
      </w:r>
    </w:p>
    <w:p w14:paraId="037A3CEE" w14:textId="77777777" w:rsidR="00B31A0B" w:rsidRPr="00112E81" w:rsidRDefault="00112E81">
      <w:pPr>
        <w:pStyle w:val="BodyText"/>
        <w:spacing w:before="315" w:line="261" w:lineRule="auto"/>
        <w:ind w:left="100" w:right="156"/>
        <w:rPr>
          <w:sz w:val="22"/>
          <w:szCs w:val="22"/>
        </w:rPr>
      </w:pPr>
      <w:r w:rsidRPr="00112E81">
        <w:rPr>
          <w:color w:val="333333"/>
          <w:sz w:val="22"/>
          <w:szCs w:val="22"/>
        </w:rPr>
        <w:t>Only those courses and equivalencies provided by a local, state, or national REALTOR® association can satisfy the Fair Housing training requirement.</w:t>
      </w:r>
      <w:r w:rsidRPr="00112E81">
        <w:rPr>
          <w:color w:val="333333"/>
          <w:spacing w:val="-9"/>
          <w:sz w:val="22"/>
          <w:szCs w:val="22"/>
        </w:rPr>
        <w:t xml:space="preserve"> </w:t>
      </w:r>
      <w:r w:rsidRPr="00112E81">
        <w:rPr>
          <w:color w:val="333333"/>
          <w:sz w:val="22"/>
          <w:szCs w:val="22"/>
        </w:rPr>
        <w:t>Local</w:t>
      </w:r>
      <w:r w:rsidRPr="00112E81">
        <w:rPr>
          <w:color w:val="333333"/>
          <w:spacing w:val="-9"/>
          <w:sz w:val="22"/>
          <w:szCs w:val="22"/>
        </w:rPr>
        <w:t xml:space="preserve"> </w:t>
      </w:r>
      <w:r w:rsidRPr="00112E81">
        <w:rPr>
          <w:color w:val="333333"/>
          <w:sz w:val="22"/>
          <w:szCs w:val="22"/>
        </w:rPr>
        <w:t>and</w:t>
      </w:r>
      <w:r w:rsidRPr="00112E81">
        <w:rPr>
          <w:color w:val="333333"/>
          <w:spacing w:val="-10"/>
          <w:sz w:val="22"/>
          <w:szCs w:val="22"/>
        </w:rPr>
        <w:t xml:space="preserve"> </w:t>
      </w:r>
      <w:r w:rsidRPr="00112E81">
        <w:rPr>
          <w:color w:val="333333"/>
          <w:sz w:val="22"/>
          <w:szCs w:val="22"/>
        </w:rPr>
        <w:t>state</w:t>
      </w:r>
      <w:r w:rsidRPr="00112E81">
        <w:rPr>
          <w:color w:val="333333"/>
          <w:spacing w:val="-7"/>
          <w:sz w:val="22"/>
          <w:szCs w:val="22"/>
        </w:rPr>
        <w:t xml:space="preserve"> </w:t>
      </w:r>
      <w:r w:rsidRPr="00112E81">
        <w:rPr>
          <w:color w:val="333333"/>
          <w:sz w:val="22"/>
          <w:szCs w:val="22"/>
        </w:rPr>
        <w:t>associations</w:t>
      </w:r>
      <w:r w:rsidRPr="00112E81">
        <w:rPr>
          <w:color w:val="333333"/>
          <w:spacing w:val="-10"/>
          <w:sz w:val="22"/>
          <w:szCs w:val="22"/>
        </w:rPr>
        <w:t xml:space="preserve"> </w:t>
      </w:r>
      <w:r w:rsidRPr="00112E81">
        <w:rPr>
          <w:color w:val="333333"/>
          <w:sz w:val="22"/>
          <w:szCs w:val="22"/>
        </w:rPr>
        <w:t>may,</w:t>
      </w:r>
      <w:r w:rsidRPr="00112E81">
        <w:rPr>
          <w:color w:val="333333"/>
          <w:spacing w:val="-14"/>
          <w:sz w:val="22"/>
          <w:szCs w:val="22"/>
        </w:rPr>
        <w:t xml:space="preserve"> </w:t>
      </w:r>
      <w:r w:rsidRPr="00112E81">
        <w:rPr>
          <w:color w:val="333333"/>
          <w:sz w:val="22"/>
          <w:szCs w:val="22"/>
        </w:rPr>
        <w:t>however,</w:t>
      </w:r>
      <w:r w:rsidRPr="00112E81">
        <w:rPr>
          <w:color w:val="333333"/>
          <w:spacing w:val="-8"/>
          <w:sz w:val="22"/>
          <w:szCs w:val="22"/>
        </w:rPr>
        <w:t xml:space="preserve"> </w:t>
      </w:r>
      <w:r w:rsidRPr="00112E81">
        <w:rPr>
          <w:color w:val="333333"/>
          <w:sz w:val="22"/>
          <w:szCs w:val="22"/>
        </w:rPr>
        <w:t>partner</w:t>
      </w:r>
      <w:r w:rsidRPr="00112E81">
        <w:rPr>
          <w:color w:val="333333"/>
          <w:spacing w:val="-8"/>
          <w:sz w:val="22"/>
          <w:szCs w:val="22"/>
        </w:rPr>
        <w:t xml:space="preserve"> </w:t>
      </w:r>
      <w:r w:rsidRPr="00112E81">
        <w:rPr>
          <w:color w:val="333333"/>
          <w:sz w:val="22"/>
          <w:szCs w:val="22"/>
        </w:rPr>
        <w:t xml:space="preserve">with a third-party training provider to create a course that satisfies the </w:t>
      </w:r>
      <w:r w:rsidRPr="00112E81">
        <w:rPr>
          <w:color w:val="333333"/>
          <w:spacing w:val="-2"/>
          <w:sz w:val="22"/>
          <w:szCs w:val="22"/>
        </w:rPr>
        <w:t>requirement.</w:t>
      </w:r>
    </w:p>
    <w:p w14:paraId="03801EED" w14:textId="77777777" w:rsidR="00B31A0B" w:rsidRPr="00112E81" w:rsidRDefault="00112E81">
      <w:pPr>
        <w:pStyle w:val="BodyText"/>
        <w:spacing w:before="276" w:line="259" w:lineRule="auto"/>
        <w:ind w:left="100" w:right="156"/>
        <w:rPr>
          <w:sz w:val="22"/>
          <w:szCs w:val="22"/>
        </w:rPr>
      </w:pPr>
      <w:r w:rsidRPr="00112E81">
        <w:rPr>
          <w:color w:val="333333"/>
          <w:sz w:val="22"/>
          <w:szCs w:val="22"/>
        </w:rPr>
        <w:t>Partnering with a provider means a local or state association of REALTORS®</w:t>
      </w:r>
      <w:r w:rsidRPr="00112E81">
        <w:rPr>
          <w:color w:val="333333"/>
          <w:spacing w:val="-7"/>
          <w:sz w:val="22"/>
          <w:szCs w:val="22"/>
        </w:rPr>
        <w:t xml:space="preserve"> </w:t>
      </w:r>
      <w:r w:rsidRPr="00112E81">
        <w:rPr>
          <w:color w:val="333333"/>
          <w:sz w:val="22"/>
          <w:szCs w:val="22"/>
        </w:rPr>
        <w:t>has</w:t>
      </w:r>
      <w:r w:rsidRPr="00112E81">
        <w:rPr>
          <w:color w:val="333333"/>
          <w:spacing w:val="-10"/>
          <w:sz w:val="22"/>
          <w:szCs w:val="22"/>
        </w:rPr>
        <w:t xml:space="preserve"> </w:t>
      </w:r>
      <w:r w:rsidRPr="00112E81">
        <w:rPr>
          <w:color w:val="333333"/>
          <w:sz w:val="22"/>
          <w:szCs w:val="22"/>
        </w:rPr>
        <w:t>vetted</w:t>
      </w:r>
      <w:r w:rsidRPr="00112E81">
        <w:rPr>
          <w:color w:val="333333"/>
          <w:spacing w:val="-9"/>
          <w:sz w:val="22"/>
          <w:szCs w:val="22"/>
        </w:rPr>
        <w:t xml:space="preserve"> </w:t>
      </w:r>
      <w:r w:rsidRPr="00112E81">
        <w:rPr>
          <w:color w:val="333333"/>
          <w:sz w:val="22"/>
          <w:szCs w:val="22"/>
        </w:rPr>
        <w:t>a</w:t>
      </w:r>
      <w:r w:rsidRPr="00112E81">
        <w:rPr>
          <w:color w:val="333333"/>
          <w:spacing w:val="-7"/>
          <w:sz w:val="22"/>
          <w:szCs w:val="22"/>
        </w:rPr>
        <w:t xml:space="preserve"> </w:t>
      </w:r>
      <w:r w:rsidRPr="00112E81">
        <w:rPr>
          <w:color w:val="333333"/>
          <w:sz w:val="22"/>
          <w:szCs w:val="22"/>
        </w:rPr>
        <w:t>provider</w:t>
      </w:r>
      <w:r w:rsidRPr="00112E81">
        <w:rPr>
          <w:color w:val="333333"/>
          <w:spacing w:val="-7"/>
          <w:sz w:val="22"/>
          <w:szCs w:val="22"/>
        </w:rPr>
        <w:t xml:space="preserve"> </w:t>
      </w:r>
      <w:r w:rsidRPr="00112E81">
        <w:rPr>
          <w:color w:val="333333"/>
          <w:sz w:val="22"/>
          <w:szCs w:val="22"/>
        </w:rPr>
        <w:t>(i.e.</w:t>
      </w:r>
      <w:r w:rsidRPr="00112E81">
        <w:rPr>
          <w:color w:val="333333"/>
          <w:spacing w:val="-13"/>
          <w:sz w:val="22"/>
          <w:szCs w:val="22"/>
        </w:rPr>
        <w:t xml:space="preserve"> </w:t>
      </w:r>
      <w:r w:rsidRPr="00112E81">
        <w:rPr>
          <w:color w:val="333333"/>
          <w:sz w:val="22"/>
          <w:szCs w:val="22"/>
        </w:rPr>
        <w:t>real</w:t>
      </w:r>
      <w:r w:rsidRPr="00112E81">
        <w:rPr>
          <w:color w:val="333333"/>
          <w:spacing w:val="-8"/>
          <w:sz w:val="22"/>
          <w:szCs w:val="22"/>
        </w:rPr>
        <w:t xml:space="preserve"> </w:t>
      </w:r>
      <w:r w:rsidRPr="00112E81">
        <w:rPr>
          <w:color w:val="333333"/>
          <w:sz w:val="22"/>
          <w:szCs w:val="22"/>
        </w:rPr>
        <w:t>estate</w:t>
      </w:r>
      <w:r w:rsidRPr="00112E81">
        <w:rPr>
          <w:color w:val="333333"/>
          <w:spacing w:val="-11"/>
          <w:sz w:val="22"/>
          <w:szCs w:val="22"/>
        </w:rPr>
        <w:t xml:space="preserve"> </w:t>
      </w:r>
      <w:r w:rsidRPr="00112E81">
        <w:rPr>
          <w:color w:val="333333"/>
          <w:sz w:val="22"/>
          <w:szCs w:val="22"/>
        </w:rPr>
        <w:t>school,</w:t>
      </w:r>
      <w:r w:rsidRPr="00112E81">
        <w:rPr>
          <w:color w:val="333333"/>
          <w:spacing w:val="-4"/>
          <w:sz w:val="22"/>
          <w:szCs w:val="22"/>
        </w:rPr>
        <w:t xml:space="preserve"> </w:t>
      </w:r>
      <w:r w:rsidRPr="00112E81">
        <w:rPr>
          <w:color w:val="333333"/>
          <w:sz w:val="22"/>
          <w:szCs w:val="22"/>
        </w:rPr>
        <w:t>Fair</w:t>
      </w:r>
      <w:r w:rsidRPr="00112E81">
        <w:rPr>
          <w:color w:val="333333"/>
          <w:spacing w:val="-11"/>
          <w:sz w:val="22"/>
          <w:szCs w:val="22"/>
        </w:rPr>
        <w:t xml:space="preserve"> </w:t>
      </w:r>
      <w:r w:rsidRPr="00112E81">
        <w:rPr>
          <w:color w:val="333333"/>
          <w:sz w:val="22"/>
          <w:szCs w:val="22"/>
        </w:rPr>
        <w:t>Housing educators, etc.</w:t>
      </w:r>
      <w:proofErr w:type="gramStart"/>
      <w:r w:rsidRPr="00112E81">
        <w:rPr>
          <w:color w:val="333333"/>
          <w:sz w:val="22"/>
          <w:szCs w:val="22"/>
        </w:rPr>
        <w:t>), and</w:t>
      </w:r>
      <w:proofErr w:type="gramEnd"/>
      <w:r w:rsidRPr="00112E81">
        <w:rPr>
          <w:color w:val="333333"/>
          <w:sz w:val="22"/>
          <w:szCs w:val="22"/>
        </w:rPr>
        <w:t xml:space="preserve"> confirmed that their course meets NAR's mandatory minimum criteria and learning objectives before the member takes the course.</w:t>
      </w:r>
    </w:p>
    <w:p w14:paraId="652F20DE" w14:textId="4B853E86" w:rsidR="00B31A0B" w:rsidRPr="00112E81" w:rsidRDefault="00112E81">
      <w:pPr>
        <w:pStyle w:val="BodyText"/>
        <w:spacing w:before="294" w:line="261" w:lineRule="auto"/>
        <w:ind w:left="100" w:right="224"/>
        <w:rPr>
          <w:color w:val="333333"/>
          <w:sz w:val="22"/>
          <w:szCs w:val="22"/>
        </w:rPr>
      </w:pPr>
      <w:r w:rsidRPr="00112E81">
        <w:rPr>
          <w:color w:val="333333"/>
          <w:sz w:val="22"/>
          <w:szCs w:val="22"/>
        </w:rPr>
        <w:t>Members can take an approved course at any association of REALTORS</w:t>
      </w:r>
      <w:proofErr w:type="gramStart"/>
      <w:r w:rsidRPr="00112E81">
        <w:rPr>
          <w:color w:val="333333"/>
          <w:sz w:val="22"/>
          <w:szCs w:val="22"/>
        </w:rPr>
        <w:t>®</w:t>
      </w:r>
      <w:proofErr w:type="gramEnd"/>
      <w:r w:rsidRPr="00112E81">
        <w:rPr>
          <w:color w:val="333333"/>
          <w:sz w:val="22"/>
          <w:szCs w:val="22"/>
        </w:rPr>
        <w:t xml:space="preserve"> and it will satisfy the Fair</w:t>
      </w:r>
      <w:r w:rsidRPr="00112E81">
        <w:rPr>
          <w:color w:val="333333"/>
          <w:spacing w:val="-6"/>
          <w:sz w:val="22"/>
          <w:szCs w:val="22"/>
        </w:rPr>
        <w:t xml:space="preserve"> </w:t>
      </w:r>
      <w:r w:rsidRPr="00112E81">
        <w:rPr>
          <w:color w:val="333333"/>
          <w:sz w:val="22"/>
          <w:szCs w:val="22"/>
        </w:rPr>
        <w:t>Housing training r</w:t>
      </w:r>
      <w:r>
        <w:rPr>
          <w:color w:val="333333"/>
          <w:sz w:val="22"/>
          <w:szCs w:val="22"/>
        </w:rPr>
        <w:t>e</w:t>
      </w:r>
      <w:r w:rsidRPr="00112E81">
        <w:rPr>
          <w:color w:val="333333"/>
          <w:sz w:val="22"/>
          <w:szCs w:val="22"/>
        </w:rPr>
        <w:t>quirement. If a member takes a course through a partnered provider of an association</w:t>
      </w:r>
      <w:r w:rsidRPr="00112E81">
        <w:rPr>
          <w:color w:val="333333"/>
          <w:spacing w:val="-4"/>
          <w:sz w:val="22"/>
          <w:szCs w:val="22"/>
        </w:rPr>
        <w:t xml:space="preserve"> </w:t>
      </w:r>
      <w:r w:rsidRPr="00112E81">
        <w:rPr>
          <w:color w:val="333333"/>
          <w:sz w:val="22"/>
          <w:szCs w:val="22"/>
        </w:rPr>
        <w:t>in</w:t>
      </w:r>
      <w:r w:rsidRPr="00112E81">
        <w:rPr>
          <w:color w:val="333333"/>
          <w:spacing w:val="-4"/>
          <w:sz w:val="22"/>
          <w:szCs w:val="22"/>
        </w:rPr>
        <w:t xml:space="preserve"> </w:t>
      </w:r>
      <w:r w:rsidRPr="00112E81">
        <w:rPr>
          <w:color w:val="333333"/>
          <w:sz w:val="22"/>
          <w:szCs w:val="22"/>
        </w:rPr>
        <w:t>their</w:t>
      </w:r>
      <w:r w:rsidRPr="00112E81">
        <w:rPr>
          <w:color w:val="333333"/>
          <w:spacing w:val="-2"/>
          <w:sz w:val="22"/>
          <w:szCs w:val="22"/>
        </w:rPr>
        <w:t xml:space="preserve"> </w:t>
      </w:r>
      <w:r w:rsidRPr="00112E81">
        <w:rPr>
          <w:color w:val="333333"/>
          <w:sz w:val="22"/>
          <w:szCs w:val="22"/>
        </w:rPr>
        <w:t>own</w:t>
      </w:r>
      <w:r w:rsidRPr="00112E81">
        <w:rPr>
          <w:color w:val="333333"/>
          <w:spacing w:val="-4"/>
          <w:sz w:val="22"/>
          <w:szCs w:val="22"/>
        </w:rPr>
        <w:t xml:space="preserve"> </w:t>
      </w:r>
      <w:r w:rsidRPr="00112E81">
        <w:rPr>
          <w:color w:val="333333"/>
          <w:sz w:val="22"/>
          <w:szCs w:val="22"/>
        </w:rPr>
        <w:t>state</w:t>
      </w:r>
      <w:r w:rsidRPr="00112E81">
        <w:rPr>
          <w:color w:val="333333"/>
          <w:spacing w:val="-6"/>
          <w:sz w:val="22"/>
          <w:szCs w:val="22"/>
        </w:rPr>
        <w:t xml:space="preserve"> </w:t>
      </w:r>
      <w:r w:rsidRPr="00112E81">
        <w:rPr>
          <w:color w:val="333333"/>
          <w:sz w:val="22"/>
          <w:szCs w:val="22"/>
        </w:rPr>
        <w:t>or</w:t>
      </w:r>
      <w:r w:rsidRPr="00112E81">
        <w:rPr>
          <w:color w:val="333333"/>
          <w:spacing w:val="-7"/>
          <w:sz w:val="22"/>
          <w:szCs w:val="22"/>
        </w:rPr>
        <w:t xml:space="preserve"> </w:t>
      </w:r>
      <w:r w:rsidRPr="00112E81">
        <w:rPr>
          <w:color w:val="333333"/>
          <w:sz w:val="22"/>
          <w:szCs w:val="22"/>
        </w:rPr>
        <w:t>a</w:t>
      </w:r>
      <w:r w:rsidRPr="00112E81">
        <w:rPr>
          <w:color w:val="333333"/>
          <w:spacing w:val="-6"/>
          <w:sz w:val="22"/>
          <w:szCs w:val="22"/>
        </w:rPr>
        <w:t xml:space="preserve"> </w:t>
      </w:r>
      <w:r w:rsidRPr="00112E81">
        <w:rPr>
          <w:color w:val="333333"/>
          <w:sz w:val="22"/>
          <w:szCs w:val="22"/>
        </w:rPr>
        <w:t>neighboring</w:t>
      </w:r>
      <w:r w:rsidRPr="00112E81">
        <w:rPr>
          <w:color w:val="333333"/>
          <w:spacing w:val="-2"/>
          <w:sz w:val="22"/>
          <w:szCs w:val="22"/>
        </w:rPr>
        <w:t xml:space="preserve"> </w:t>
      </w:r>
      <w:r w:rsidRPr="00112E81">
        <w:rPr>
          <w:color w:val="333333"/>
          <w:sz w:val="22"/>
          <w:szCs w:val="22"/>
        </w:rPr>
        <w:t>state,</w:t>
      </w:r>
      <w:r w:rsidRPr="00112E81">
        <w:rPr>
          <w:color w:val="333333"/>
          <w:spacing w:val="-3"/>
          <w:sz w:val="22"/>
          <w:szCs w:val="22"/>
        </w:rPr>
        <w:t xml:space="preserve"> </w:t>
      </w:r>
      <w:r w:rsidRPr="00112E81">
        <w:rPr>
          <w:color w:val="333333"/>
          <w:sz w:val="22"/>
          <w:szCs w:val="22"/>
        </w:rPr>
        <w:t>it</w:t>
      </w:r>
      <w:r w:rsidRPr="00112E81">
        <w:rPr>
          <w:color w:val="333333"/>
          <w:spacing w:val="-3"/>
          <w:sz w:val="22"/>
          <w:szCs w:val="22"/>
        </w:rPr>
        <w:t xml:space="preserve"> </w:t>
      </w:r>
      <w:r w:rsidRPr="00112E81">
        <w:rPr>
          <w:color w:val="333333"/>
          <w:sz w:val="22"/>
          <w:szCs w:val="22"/>
        </w:rPr>
        <w:t>will</w:t>
      </w:r>
      <w:r w:rsidRPr="00112E81">
        <w:rPr>
          <w:color w:val="333333"/>
          <w:spacing w:val="-7"/>
          <w:sz w:val="22"/>
          <w:szCs w:val="22"/>
        </w:rPr>
        <w:t xml:space="preserve"> </w:t>
      </w:r>
      <w:r w:rsidRPr="00112E81">
        <w:rPr>
          <w:color w:val="333333"/>
          <w:sz w:val="22"/>
          <w:szCs w:val="22"/>
        </w:rPr>
        <w:t>also</w:t>
      </w:r>
      <w:r w:rsidRPr="00112E81">
        <w:rPr>
          <w:color w:val="333333"/>
          <w:spacing w:val="-1"/>
          <w:sz w:val="22"/>
          <w:szCs w:val="22"/>
        </w:rPr>
        <w:t xml:space="preserve"> </w:t>
      </w:r>
      <w:r w:rsidRPr="00112E81">
        <w:rPr>
          <w:color w:val="333333"/>
          <w:sz w:val="22"/>
          <w:szCs w:val="22"/>
        </w:rPr>
        <w:t>satisfy the Fair Housing training requirement. If a course is taken from a partnered provider outside of those limits, it is up to each local association if they choose to accept it.</w:t>
      </w:r>
    </w:p>
    <w:p w14:paraId="33739F1E" w14:textId="77777777" w:rsidR="00112E81" w:rsidRDefault="00112E81" w:rsidP="00112E81">
      <w:pPr>
        <w:spacing w:line="360" w:lineRule="auto"/>
        <w:rPr>
          <w:b/>
          <w:bCs/>
        </w:rPr>
      </w:pPr>
    </w:p>
    <w:p w14:paraId="75AC11FE" w14:textId="19A4CF8F" w:rsidR="00112E81" w:rsidRPr="00B927C6" w:rsidRDefault="00112E81" w:rsidP="00112E81">
      <w:pPr>
        <w:spacing w:line="262" w:lineRule="auto"/>
        <w:rPr>
          <w:b/>
          <w:bCs/>
        </w:rPr>
      </w:pPr>
      <w:r w:rsidRPr="00B927C6">
        <w:rPr>
          <w:b/>
          <w:bCs/>
        </w:rPr>
        <w:t xml:space="preserve">I. Policy Summary for Periodic </w:t>
      </w:r>
      <w:r w:rsidRPr="00112E81">
        <w:rPr>
          <w:b/>
          <w:bCs/>
        </w:rPr>
        <w:t xml:space="preserve">Fair Housing </w:t>
      </w:r>
      <w:r>
        <w:rPr>
          <w:b/>
          <w:bCs/>
        </w:rPr>
        <w:t>Training</w:t>
      </w:r>
    </w:p>
    <w:p w14:paraId="653B4424" w14:textId="45DD3AF3" w:rsidR="00112E81" w:rsidRDefault="00112E81" w:rsidP="00112E81">
      <w:pPr>
        <w:spacing w:line="262" w:lineRule="auto"/>
      </w:pPr>
      <w:r w:rsidRPr="00B927C6">
        <w:t xml:space="preserve">Members of the National Association of REALTORS® are required to complete periodic </w:t>
      </w:r>
      <w:r w:rsidRPr="00112E81">
        <w:t>Fair Housing</w:t>
      </w:r>
      <w:r>
        <w:t xml:space="preserve"> </w:t>
      </w:r>
      <w:r w:rsidRPr="00B927C6">
        <w:t xml:space="preserve">training of not less than 2 hours of instructional time once every three years. Associations of REALTORS® are required to provide access to such programs to members either on their own, in conjunction with other Associations, or through some other method (such as home study, correspondence or internet-based online courses). Any course offered by an Association, regardless of format, must meet the learning objectives and minimum criteria for such courses </w:t>
      </w:r>
      <w:proofErr w:type="gramStart"/>
      <w:r w:rsidRPr="00B927C6">
        <w:t>as</w:t>
      </w:r>
      <w:proofErr w:type="gramEnd"/>
      <w:r w:rsidRPr="00B927C6">
        <w:t xml:space="preserve"> established by the National Association of REALTORS® from time to time.</w:t>
      </w:r>
    </w:p>
    <w:p w14:paraId="41E0FF92" w14:textId="77777777" w:rsidR="00112E81" w:rsidRPr="00B927C6" w:rsidRDefault="00112E81" w:rsidP="00112E81">
      <w:pPr>
        <w:spacing w:line="262" w:lineRule="auto"/>
      </w:pPr>
    </w:p>
    <w:p w14:paraId="2DB2177C" w14:textId="77777777" w:rsidR="00112E81" w:rsidRPr="00B927C6" w:rsidRDefault="00112E81" w:rsidP="00112E81">
      <w:pPr>
        <w:spacing w:line="262" w:lineRule="auto"/>
        <w:rPr>
          <w:b/>
          <w:bCs/>
        </w:rPr>
      </w:pPr>
      <w:r w:rsidRPr="00B927C6">
        <w:rPr>
          <w:b/>
          <w:bCs/>
        </w:rPr>
        <w:t>II. Minimum Time for Training</w:t>
      </w:r>
    </w:p>
    <w:p w14:paraId="243BB3EF" w14:textId="6FB94BBE" w:rsidR="00112E81" w:rsidRDefault="00112E81" w:rsidP="00112E81">
      <w:pPr>
        <w:spacing w:line="262" w:lineRule="auto"/>
      </w:pPr>
      <w:r w:rsidRPr="00B927C6">
        <w:t xml:space="preserve">A minimum of 2 hours of </w:t>
      </w:r>
      <w:proofErr w:type="gramStart"/>
      <w:r w:rsidRPr="00B927C6">
        <w:t>instructional time</w:t>
      </w:r>
      <w:proofErr w:type="gramEnd"/>
      <w:r w:rsidRPr="00B927C6">
        <w:t xml:space="preserve"> every three years is required. To </w:t>
      </w:r>
      <w:proofErr w:type="gramStart"/>
      <w:r w:rsidRPr="00B927C6">
        <w:t>provide for</w:t>
      </w:r>
      <w:proofErr w:type="gramEnd"/>
      <w:r w:rsidRPr="00B927C6">
        <w:t xml:space="preserve"> maximum flexibility and choice in customizing training best suited for their members, associations may choose to format this time in different ways, including, but not limited to, the following formats:</w:t>
      </w:r>
    </w:p>
    <w:p w14:paraId="59425A9A" w14:textId="77777777" w:rsidR="00112E81" w:rsidRPr="00B927C6" w:rsidRDefault="00112E81" w:rsidP="00112E81">
      <w:pPr>
        <w:spacing w:line="262" w:lineRule="auto"/>
      </w:pPr>
    </w:p>
    <w:p w14:paraId="2172A108" w14:textId="19FD45FF" w:rsidR="00112E81" w:rsidRPr="00B927C6" w:rsidRDefault="00112E81" w:rsidP="00112E81">
      <w:pPr>
        <w:widowControl/>
        <w:numPr>
          <w:ilvl w:val="0"/>
          <w:numId w:val="1"/>
        </w:numPr>
        <w:autoSpaceDE/>
        <w:autoSpaceDN/>
        <w:spacing w:after="160" w:line="262" w:lineRule="auto"/>
      </w:pPr>
      <w:r w:rsidRPr="00B927C6">
        <w:t xml:space="preserve">One class of </w:t>
      </w:r>
      <w:r w:rsidRPr="00112E81">
        <w:t xml:space="preserve">2.5 </w:t>
      </w:r>
      <w:r w:rsidRPr="00B927C6">
        <w:t>hours in length with two breaks of ten to fifteen minutes each. Depending on state law, this format may qualify for continuing education credit.</w:t>
      </w:r>
    </w:p>
    <w:p w14:paraId="45987524" w14:textId="6C2BDAF2" w:rsidR="00112E81" w:rsidRPr="00B927C6" w:rsidRDefault="00112E81" w:rsidP="00112E81">
      <w:pPr>
        <w:widowControl/>
        <w:numPr>
          <w:ilvl w:val="0"/>
          <w:numId w:val="1"/>
        </w:numPr>
        <w:autoSpaceDE/>
        <w:autoSpaceDN/>
        <w:spacing w:after="160" w:line="262" w:lineRule="auto"/>
      </w:pPr>
      <w:r w:rsidRPr="00B927C6">
        <w:t xml:space="preserve">Three classes of </w:t>
      </w:r>
      <w:r w:rsidRPr="00112E81">
        <w:t>40</w:t>
      </w:r>
      <w:r>
        <w:t xml:space="preserve"> </w:t>
      </w:r>
      <w:r w:rsidRPr="00B927C6">
        <w:t>minutes each.</w:t>
      </w:r>
    </w:p>
    <w:p w14:paraId="04D2B9A1" w14:textId="733F4BB9" w:rsidR="00112E81" w:rsidRPr="00B927C6" w:rsidRDefault="00112E81" w:rsidP="00112E81">
      <w:pPr>
        <w:widowControl/>
        <w:numPr>
          <w:ilvl w:val="0"/>
          <w:numId w:val="1"/>
        </w:numPr>
        <w:autoSpaceDE/>
        <w:autoSpaceDN/>
        <w:spacing w:after="160" w:line="262" w:lineRule="auto"/>
      </w:pPr>
      <w:r w:rsidRPr="00B927C6">
        <w:t xml:space="preserve">Six sessions of </w:t>
      </w:r>
      <w:r w:rsidRPr="00112E81">
        <w:t>20</w:t>
      </w:r>
      <w:r>
        <w:t xml:space="preserve"> </w:t>
      </w:r>
      <w:r w:rsidRPr="00B927C6">
        <w:t>minutes each. This format might envision a module or topic included as part of a board or association membership meeting.</w:t>
      </w:r>
    </w:p>
    <w:p w14:paraId="2327F6E9" w14:textId="2D218BEA" w:rsidR="00112E81" w:rsidRPr="00B927C6" w:rsidRDefault="00112E81" w:rsidP="00112E81">
      <w:pPr>
        <w:widowControl/>
        <w:numPr>
          <w:ilvl w:val="0"/>
          <w:numId w:val="1"/>
        </w:numPr>
        <w:autoSpaceDE/>
        <w:autoSpaceDN/>
        <w:spacing w:after="160" w:line="262" w:lineRule="auto"/>
      </w:pPr>
      <w:r w:rsidRPr="00B927C6">
        <w:lastRenderedPageBreak/>
        <w:t xml:space="preserve">Inclusion of the required content and time elements into a full day or multi-day program. </w:t>
      </w:r>
      <w:r w:rsidRPr="00112E81">
        <w:t xml:space="preserve">This format might include presenting the required Code of Ethics course alongside a Fair Housing course. Please note that a course that combines both requirements may not overlap and must contain a minimum of 2.5 hours of Code of Ethics training and 2 hours of Fair Housing training for a total of at least 4.5 hours. </w:t>
      </w:r>
    </w:p>
    <w:p w14:paraId="4F37FC92" w14:textId="1EE7EB09" w:rsidR="00112E81" w:rsidRPr="00B927C6" w:rsidRDefault="00112E81" w:rsidP="00112E81">
      <w:pPr>
        <w:spacing w:line="262" w:lineRule="auto"/>
      </w:pPr>
      <w:r w:rsidRPr="00B927C6">
        <w:t>Boards and associations should not divide the content into sessions of less than</w:t>
      </w:r>
      <w:r w:rsidRPr="00112E81">
        <w:t xml:space="preserve"> 20</w:t>
      </w:r>
      <w:r>
        <w:t xml:space="preserve"> </w:t>
      </w:r>
      <w:r w:rsidRPr="00B927C6">
        <w:t xml:space="preserve">minutes each unless the content is part of a longer program which includes other topics. For example, it would not </w:t>
      </w:r>
      <w:proofErr w:type="gramStart"/>
      <w:r w:rsidRPr="00B927C6">
        <w:t>be considered to be</w:t>
      </w:r>
      <w:proofErr w:type="gramEnd"/>
      <w:r w:rsidRPr="00B927C6">
        <w:t xml:space="preserve"> a reasonable division of content to have a </w:t>
      </w:r>
      <w:proofErr w:type="gramStart"/>
      <w:r w:rsidRPr="00B927C6">
        <w:t>five or ten minute</w:t>
      </w:r>
      <w:proofErr w:type="gramEnd"/>
      <w:r w:rsidRPr="00B927C6">
        <w:t xml:space="preserve"> </w:t>
      </w:r>
      <w:r w:rsidRPr="00112E81">
        <w:t>Fair Housing</w:t>
      </w:r>
      <w:r>
        <w:t xml:space="preserve"> </w:t>
      </w:r>
      <w:r w:rsidRPr="00B927C6">
        <w:t>presentation at monthly board meetings.</w:t>
      </w:r>
    </w:p>
    <w:p w14:paraId="75756369" w14:textId="398F2C3C" w:rsidR="00112E81" w:rsidRDefault="00112E81">
      <w:pPr>
        <w:pStyle w:val="BodyText"/>
        <w:spacing w:before="294" w:line="261" w:lineRule="auto"/>
        <w:ind w:left="100" w:right="224"/>
      </w:pPr>
    </w:p>
    <w:sectPr w:rsidR="00112E81">
      <w:type w:val="continuous"/>
      <w:pgSz w:w="12240" w:h="15840"/>
      <w:pgMar w:top="720" w:right="1440" w:bottom="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3143B"/>
    <w:multiLevelType w:val="multilevel"/>
    <w:tmpl w:val="B84E3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69614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B31A0B"/>
    <w:rsid w:val="00112E81"/>
    <w:rsid w:val="002F5A54"/>
    <w:rsid w:val="00B31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74244"/>
  <w15:docId w15:val="{5F728B37-98D4-4005-A337-0C3D7C034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ontserrat" w:eastAsia="Montserrat" w:hAnsi="Montserrat" w:cs="Montserrat"/>
    </w:rPr>
  </w:style>
  <w:style w:type="paragraph" w:styleId="Heading1">
    <w:name w:val="heading 1"/>
    <w:basedOn w:val="Normal"/>
    <w:uiPriority w:val="9"/>
    <w:qFormat/>
    <w:pPr>
      <w:spacing w:line="468" w:lineRule="exact"/>
      <w:ind w:right="2"/>
      <w:jc w:val="center"/>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526</Words>
  <Characters>2641</Characters>
  <Application>Microsoft Office Word</Application>
  <DocSecurity>0</DocSecurity>
  <Lines>43</Lines>
  <Paragraphs>14</Paragraphs>
  <ScaleCrop>false</ScaleCrop>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Yu</dc:creator>
  <cp:lastModifiedBy>Daniel Doepke</cp:lastModifiedBy>
  <cp:revision>2</cp:revision>
  <dcterms:created xsi:type="dcterms:W3CDTF">2025-12-18T21:48:00Z</dcterms:created>
  <dcterms:modified xsi:type="dcterms:W3CDTF">2025-12-18T21:48:00Z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2024-08-28T00:00:00Z</vt:filetime>
  </property>
  <property fmtid="{D5CDD505-2E9C-101B-9397-08002B2CF9AE}" pid="3" name="Creator">
    <vt:lpwstr>Microsoft Word</vt:lpwstr>
  </property>
  <property fmtid="{D5CDD505-2E9C-101B-9397-08002B2CF9AE}" pid="4" name="LastSaved">
    <vt:filetime>2025-12-18T00:00:00Z</vt:filetime>
  </property>
</Properties>
</file>